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ADDIO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sul finire del giorno,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sul finire della vita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vengo a te, Maria.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Figlio stanco che fa ritorno a casa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tutti quelli che lì mi aspettano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gridano: “Padre… Papà!”.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Però guardo verso di te Mamma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cerco rifugio e protezione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sotto il tuo manto, Mamma.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Dillo tu ai miei figli, dillo tu ai miei figli: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“Io vi ho donato questo padre,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ora lasciatelo tra le mie braccia,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lo porto con me”.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Portalo con te.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jWXWZ4edAqsic1TBWTFTdV8cZw==">CgMxLjA4AHIhMUhwRXFmQWlzbmV6SEVGZmZBckVWVS1zRzNobzQyb3dm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